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6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/>
    </w:p>
    <w:p>
      <w:pPr>
        <w:pStyle w:val="564"/>
        <w:ind w:left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Решени</w:t>
      </w:r>
      <w:r>
        <w:rPr>
          <w:sz w:val="20"/>
          <w:szCs w:val="20"/>
        </w:rPr>
        <w:t xml:space="preserve">ю</w:t>
      </w:r>
      <w:r>
        <w:rPr>
          <w:sz w:val="20"/>
          <w:szCs w:val="20"/>
        </w:rPr>
        <w:t xml:space="preserve"> Совета Элисенваарского</w:t>
      </w:r>
      <w:r>
        <w:rPr>
          <w:sz w:val="20"/>
          <w:szCs w:val="20"/>
        </w:rPr>
        <w:t xml:space="preserve"> сельского</w:t>
      </w:r>
      <w:r>
        <w:rPr>
          <w:sz w:val="20"/>
          <w:szCs w:val="20"/>
        </w:rPr>
      </w:r>
      <w:r/>
    </w:p>
    <w:p>
      <w:pPr>
        <w:pStyle w:val="5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поселения «О бюджете Элисенваарского</w:t>
      </w:r>
      <w:r>
        <w:rPr>
          <w:sz w:val="20"/>
          <w:szCs w:val="20"/>
        </w:rPr>
      </w:r>
      <w:r/>
    </w:p>
    <w:p>
      <w:pPr>
        <w:pStyle w:val="56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сельского поселения на 20</w:t>
      </w:r>
      <w:r>
        <w:rPr>
          <w:sz w:val="20"/>
          <w:szCs w:val="20"/>
        </w:rPr>
        <w:t xml:space="preserve">21</w:t>
      </w:r>
      <w:r>
        <w:rPr>
          <w:sz w:val="20"/>
          <w:szCs w:val="20"/>
        </w:rPr>
        <w:t xml:space="preserve"> год»</w:t>
      </w:r>
      <w:r/>
    </w:p>
    <w:p>
      <w:pPr>
        <w:pStyle w:val="564"/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5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</w:t>
      </w:r>
      <w:r/>
    </w:p>
    <w:p>
      <w:pPr>
        <w:pStyle w:val="5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и коды главных администраторов доходов бюджета Элисенваарского сельского поселения</w:t>
      </w:r>
      <w:r>
        <w:rPr>
          <w:b/>
          <w:sz w:val="26"/>
          <w:szCs w:val="26"/>
        </w:rPr>
        <w:t xml:space="preserve">, закрепл</w:t>
      </w:r>
      <w:r>
        <w:rPr>
          <w:b/>
          <w:sz w:val="26"/>
          <w:szCs w:val="26"/>
        </w:rPr>
        <w:t xml:space="preserve">яемые за ними виды (подвиды) доходов бюджета</w:t>
      </w:r>
      <w:r/>
    </w:p>
    <w:p>
      <w:pPr>
        <w:pStyle w:val="564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Элисенваарског</w:t>
      </w:r>
      <w:r>
        <w:rPr>
          <w:b/>
          <w:sz w:val="26"/>
          <w:szCs w:val="26"/>
        </w:rPr>
        <w:t xml:space="preserve">о сельского поселения</w:t>
      </w:r>
      <w:r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 xml:space="preserve">21</w:t>
      </w:r>
      <w:r>
        <w:rPr>
          <w:b/>
          <w:sz w:val="26"/>
          <w:szCs w:val="26"/>
        </w:rPr>
        <w:t xml:space="preserve"> год</w:t>
      </w:r>
      <w:r>
        <w:rPr>
          <w:sz w:val="26"/>
          <w:szCs w:val="26"/>
        </w:rPr>
      </w:r>
      <w:r/>
    </w:p>
    <w:p>
      <w:pPr>
        <w:pStyle w:val="564"/>
        <w:jc w:val="right"/>
      </w:pPr>
      <w:r/>
      <w:r/>
    </w:p>
    <w:tbl>
      <w:tblPr>
        <w:tblW w:w="9824" w:type="dxa"/>
        <w:tblInd w:w="-7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6"/>
        <w:gridCol w:w="2464"/>
        <w:gridCol w:w="6324"/>
      </w:tblGrid>
      <w:tr>
        <w:trPr>
          <w:cantSplit/>
          <w:trHeight w:val="531"/>
        </w:trPr>
        <w:tc>
          <w:tcPr>
            <w:gridSpan w:val="2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500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бюджетной классификации Российской Федерации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6324" w:type="dxa"/>
            <w:vAlign w:val="center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доходов бюджета</w:t>
            </w:r>
            <w:r/>
          </w:p>
          <w:p>
            <w:pPr>
              <w:pStyle w:val="5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Элисенваарского сельского поселения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114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главного администратора доходов бюджета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</w:t>
            </w:r>
            <w:r>
              <w:rPr>
                <w:rFonts w:eastAsia="Calibri"/>
                <w:sz w:val="20"/>
                <w:szCs w:val="20"/>
              </w:rPr>
              <w:t xml:space="preserve">ида, подвида </w:t>
            </w:r>
            <w:r>
              <w:rPr>
                <w:rFonts w:eastAsia="Calibri"/>
                <w:sz w:val="20"/>
                <w:szCs w:val="20"/>
              </w:rPr>
              <w:t xml:space="preserve">доходов бюджета </w:t>
            </w:r>
            <w:r>
              <w:rPr>
                <w:rFonts w:eastAsia="Calibri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vMerge w:val="continue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1</w:t>
            </w:r>
            <w:r>
              <w:rPr>
                <w:rFonts w:eastAsia="Calibri"/>
                <w:sz w:val="20"/>
                <w:szCs w:val="20"/>
                <w:lang w:val="en-US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ascii="Arial" w:hAnsi="Arial"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Arial" w:hAnsi="Arial" w:eastAsia="Calibri"/>
                <w:sz w:val="20"/>
                <w:szCs w:val="20"/>
              </w:rPr>
            </w:r>
            <w:r/>
          </w:p>
        </w:tc>
      </w:tr>
      <w:tr>
        <w:trPr>
          <w:trHeight w:val="307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031</w:t>
            </w:r>
            <w:r>
              <w:rPr>
                <w:rFonts w:eastAsia="Calibri"/>
                <w:b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Лахденпохского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муниципального района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1 16 02020 02 0000 140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</w:pPr>
            <w:r>
              <w:rPr>
                <w:sz w:val="22"/>
                <w:szCs w:val="22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  <w:r/>
          </w:p>
        </w:tc>
      </w:tr>
      <w:tr>
        <w:trPr>
          <w:trHeight w:val="51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036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Администрация Элисенваарского сельского поселения</w:t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</w:t>
            </w:r>
            <w:r>
              <w:rPr>
                <w:sz w:val="22"/>
                <w:szCs w:val="22"/>
              </w:rPr>
              <w:t xml:space="preserve">овершение нотариальных действий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2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1 11 05075 10 0000 120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сдачи в аренду имущества, составляющего казну сельских  поселений (за исключением земельных участков)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1 11 09045 10 0000 120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/>
          </w:p>
        </w:tc>
      </w:tr>
      <w:tr>
        <w:trPr>
          <w:trHeight w:val="485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1 13 01995 10 0000 130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сельских поселений</w:t>
            </w:r>
            <w:r/>
          </w:p>
        </w:tc>
      </w:tr>
      <w:tr>
        <w:trPr>
          <w:trHeight w:val="29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1 13 02995 10 0000 130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сельских поселений</w:t>
            </w:r>
            <w:r/>
          </w:p>
        </w:tc>
      </w:tr>
      <w:tr>
        <w:trPr>
          <w:trHeight w:val="78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</w:t>
            </w:r>
            <w:r>
              <w:rPr>
                <w:sz w:val="22"/>
                <w:szCs w:val="22"/>
              </w:rPr>
              <w:t xml:space="preserve">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1 14 02053 10 0000 440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реализации иного имущества, находящего</w:t>
            </w:r>
            <w:r>
              <w:rPr>
                <w:sz w:val="22"/>
                <w:szCs w:val="22"/>
              </w:rPr>
              <w:t xml:space="preserve">ся в собственности 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  <w:r/>
          </w:p>
        </w:tc>
      </w:tr>
      <w:tr>
        <w:trPr>
          <w:trHeight w:val="4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1 14 06025 10 0000 430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411"/>
              <w:rPr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2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  <w:r>
              <w:rPr>
                <w:sz w:val="22"/>
              </w:rPr>
            </w:r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1 16 10031 10 0000 140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  <w:highlight w:val="yellow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1 16 10032 10 0000 140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1 16 10100 10 0000 140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1 16 10062 10 0000 140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</w:t>
            </w:r>
            <w:r>
              <w:rPr>
                <w:sz w:val="22"/>
                <w:szCs w:val="22"/>
                <w:lang w:eastAsia="ru-RU"/>
              </w:rPr>
              <w:t xml:space="preserve">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1 16 11</w:t>
            </w: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64 01 0000 140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1 17 01050 10 0000 180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Невыясненные поступления, зачисляемые в бюджеты сельских поселений</w:t>
            </w:r>
            <w:r/>
          </w:p>
        </w:tc>
      </w:tr>
      <w:tr>
        <w:trPr>
          <w:trHeight w:val="35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1 17 05050 10 0000 180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неналоговые доходы бюджетов сельских поселений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1520 10 0000 150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18 0</w:t>
            </w:r>
            <w:r>
              <w:rPr>
                <w:sz w:val="22"/>
                <w:szCs w:val="22"/>
              </w:rPr>
              <w:t xml:space="preserve">2500 10 0000 15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  <w:r/>
          </w:p>
        </w:tc>
      </w:tr>
      <w:tr>
        <w:trPr>
          <w:trHeight w:val="529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15001 10 0000 150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  <w:r/>
          </w:p>
        </w:tc>
      </w:tr>
      <w:tr>
        <w:trPr>
          <w:trHeight w:val="63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  <w:t xml:space="preserve">041 10 00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2 02 29999 10 0000 150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numPr>
                <w:ilvl w:val="0"/>
                <w:numId w:val="1"/>
              </w:numPr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30024 10 0000 150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сельских поселений на выполнение передаваемых полномочий субъектов Российской Федерации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  <w:t xml:space="preserve">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35118 10 0000 150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numPr>
                <w:ilvl w:val="0"/>
                <w:numId w:val="1"/>
              </w:numPr>
              <w:ind w:left="-21" w:hanging="111"/>
              <w:jc w:val="both"/>
              <w:keepNext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Cs/>
                <w:sz w:val="22"/>
                <w:szCs w:val="22"/>
              </w:rPr>
              <w:t xml:space="preserve">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40014 10 0000 150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45160</w:t>
            </w:r>
            <w:r>
              <w:rPr>
                <w:sz w:val="22"/>
                <w:szCs w:val="22"/>
              </w:rPr>
              <w:t xml:space="preserve"> 10 00</w:t>
            </w:r>
            <w:r>
              <w:rPr>
                <w:sz w:val="22"/>
                <w:szCs w:val="22"/>
              </w:rPr>
              <w:t xml:space="preserve">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ind w:righ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  <w:t xml:space="preserve">576</w:t>
            </w:r>
            <w:r>
              <w:rPr>
                <w:sz w:val="22"/>
                <w:szCs w:val="22"/>
              </w:rPr>
              <w:t xml:space="preserve">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бюджетам сельских поселений на обеспечение комплексного развития сельских территорий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 xml:space="preserve">49999 10 0000 150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межбюджетные трансферты, передаваемые бюджетам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2 07 05030 10 0000 15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безвозмездные поступления в бюджеты сельских поселений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2 07 10050 10 0000 18</w:t>
            </w:r>
            <w:r>
              <w:rPr>
                <w:sz w:val="22"/>
                <w:szCs w:val="22"/>
              </w:rPr>
              <w:t xml:space="preserve">0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vMerge w:val="restart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Прочие </w:t>
            </w:r>
            <w:r>
              <w:rPr>
                <w:sz w:val="24"/>
              </w:rPr>
              <w:t xml:space="preserve">безвозмездные</w:t>
            </w:r>
            <w: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неденежные поступления в бюджеты сельских поселений</w:t>
            </w:r>
            <w:r/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2 08 05000 10 0000 15</w:t>
            </w:r>
            <w:r>
              <w:rPr>
                <w:sz w:val="22"/>
                <w:szCs w:val="22"/>
              </w:rPr>
              <w:t xml:space="preserve">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Перечисления из бюджетов сельских поселений (в бюд</w:t>
            </w:r>
            <w:r>
              <w:rPr>
                <w:sz w:val="22"/>
                <w:szCs w:val="22"/>
              </w:rPr>
              <w:t xml:space="preserve">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 </w:t>
            </w:r>
            <w:r>
              <w:rPr>
                <w:sz w:val="22"/>
                <w:szCs w:val="22"/>
              </w:rPr>
              <w:t xml:space="preserve">60010 10 0000 150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036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2 19 0</w:t>
            </w:r>
            <w:r>
              <w:rPr>
                <w:sz w:val="22"/>
                <w:szCs w:val="22"/>
              </w:rPr>
              <w:t xml:space="preserve">0000 10 0000 150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**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06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Управление Федерального казначейства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1 03 0223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1 03 0224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1 03 0225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</w:t>
            </w:r>
            <w:r/>
          </w:p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1 03 0226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01 0000 110</w:t>
            </w:r>
            <w:r/>
          </w:p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</w:t>
            </w:r>
            <w:r>
              <w:rPr>
                <w:sz w:val="22"/>
                <w:szCs w:val="22"/>
              </w:rPr>
              <w:t xml:space="preserve">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28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</w:tc>
        <w:tc>
          <w:tcPr>
            <w:tcBorders>
              <w:left w:val="non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center"/>
            <w:textDirection w:val="lrTb"/>
            <w:noWrap w:val="false"/>
          </w:tcPr>
          <w:p>
            <w:pPr>
              <w:pStyle w:val="56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Фед</w:t>
            </w:r>
            <w:r>
              <w:rPr>
                <w:b/>
                <w:sz w:val="22"/>
                <w:szCs w:val="22"/>
              </w:rPr>
              <w:t xml:space="preserve">еральная</w:t>
            </w:r>
            <w:r>
              <w:rPr>
                <w:b/>
                <w:sz w:val="22"/>
                <w:szCs w:val="22"/>
              </w:rPr>
              <w:t xml:space="preserve"> налогов</w:t>
            </w:r>
            <w:r>
              <w:rPr>
                <w:b/>
                <w:sz w:val="22"/>
                <w:szCs w:val="22"/>
              </w:rPr>
              <w:t xml:space="preserve">ая</w:t>
            </w:r>
            <w:r>
              <w:rPr>
                <w:b/>
                <w:sz w:val="22"/>
                <w:szCs w:val="22"/>
              </w:rPr>
              <w:t xml:space="preserve"> служб</w:t>
            </w:r>
            <w:r>
              <w:rPr>
                <w:b/>
                <w:sz w:val="22"/>
                <w:szCs w:val="22"/>
              </w:rPr>
              <w:t xml:space="preserve">а</w:t>
            </w:r>
            <w:r>
              <w:rPr>
                <w:b/>
                <w:sz w:val="22"/>
                <w:szCs w:val="22"/>
              </w:rPr>
            </w:r>
            <w:r/>
          </w:p>
        </w:tc>
      </w:tr>
      <w:tr>
        <w:trPr>
          <w:trHeight w:val="423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1 01 02000 01 0000 110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4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1 05 03000 01 0000 110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Единый сельскохозяйственный налог </w:t>
            </w:r>
            <w:r>
              <w:rPr>
                <w:sz w:val="22"/>
                <w:szCs w:val="22"/>
              </w:rPr>
              <w:t xml:space="preserve">*</w:t>
            </w:r>
            <w:r>
              <w:rPr>
                <w:sz w:val="22"/>
                <w:szCs w:val="22"/>
              </w:rPr>
              <w:t xml:space="preserve"> </w:t>
            </w:r>
            <w:r/>
          </w:p>
        </w:tc>
      </w:tr>
      <w:tr>
        <w:trPr>
          <w:trHeight w:val="420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1 06 010</w:t>
            </w: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  <w:t xml:space="preserve">0 10 0000 110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</w:t>
            </w:r>
            <w:r>
              <w:rPr>
                <w:sz w:val="22"/>
                <w:szCs w:val="22"/>
              </w:rPr>
              <w:t xml:space="preserve">33</w:t>
            </w:r>
            <w:r>
              <w:rPr>
                <w:sz w:val="22"/>
                <w:szCs w:val="22"/>
              </w:rPr>
              <w:t xml:space="preserve"> 10 0000 110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56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pStyle w:val="56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1 06 06043 10 0000 110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324" w:type="dxa"/>
            <w:vAlign w:val="top"/>
            <w:textDirection w:val="lrTb"/>
            <w:noWrap w:val="false"/>
          </w:tcPr>
          <w:p>
            <w:pPr>
              <w:pStyle w:val="56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64"/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  <w:t xml:space="preserve">Администрирование поступлений по всем подвидам соответствующего вида осуществляется администратором, указанным в группировочном коде бюджетной классификации.</w:t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  <w:t xml:space="preserve">*Администрирование поступлений по всем подстатьям соответствующей статьи осуществляется администратором, указанным в группировочном коде бюджетной классификации.</w:t>
      </w:r>
      <w:r>
        <w:rPr>
          <w:sz w:val="20"/>
          <w:szCs w:val="20"/>
        </w:rPr>
      </w:r>
      <w:r/>
    </w:p>
    <w:p>
      <w:pPr>
        <w:pStyle w:val="564"/>
        <w:rPr>
          <w:sz w:val="20"/>
          <w:szCs w:val="20"/>
        </w:rPr>
      </w:pPr>
      <w:r>
        <w:rPr>
          <w:sz w:val="20"/>
          <w:szCs w:val="20"/>
        </w:rPr>
        <w:t xml:space="preserve">** Администрирование поступлений по всем статьям и подстатьям вида дохода осуществляется главными администраторами доходов бюджета, администрирующими соответствующие межбюджетные трансферты.</w:t>
      </w:r>
      <w:r>
        <w:rPr>
          <w:sz w:val="20"/>
          <w:szCs w:val="20"/>
        </w:rPr>
      </w:r>
      <w:r/>
    </w:p>
    <w:sectPr>
      <w:footnotePr/>
      <w:type w:val="nextPage"/>
      <w:pgSz w:w="11906" w:h="16838" w:orient="portrait"/>
      <w:pgMar w:top="794" w:right="851" w:bottom="794" w:left="1418" w:header="720" w:footer="72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565"/>
      <w:isLgl w:val="false"/>
      <w:suff w:val="nothing"/>
      <w:lvlText w:val=""/>
      <w:lvlJc w:val="left"/>
      <w:pPr>
        <w:pStyle w:val="564"/>
        <w:ind w:left="432" w:hanging="432"/>
        <w:tabs>
          <w:tab w:val="left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564"/>
        <w:ind w:left="576" w:hanging="576"/>
        <w:tabs>
          <w:tab w:val="left" w:pos="576" w:leader="none"/>
        </w:tabs>
      </w:pPr>
    </w:lvl>
    <w:lvl w:ilvl="2">
      <w:start w:val="1"/>
      <w:numFmt w:val="decimal"/>
      <w:pStyle w:val="566"/>
      <w:isLgl w:val="false"/>
      <w:suff w:val="nothing"/>
      <w:lvlText w:val=""/>
      <w:lvlJc w:val="left"/>
      <w:pPr>
        <w:pStyle w:val="564"/>
        <w:ind w:left="720" w:hanging="720"/>
        <w:tabs>
          <w:tab w:val="left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564"/>
        <w:ind w:left="864" w:hanging="864"/>
        <w:tabs>
          <w:tab w:val="left" w:pos="864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564"/>
        <w:ind w:left="1008" w:hanging="1008"/>
        <w:tabs>
          <w:tab w:val="left" w:pos="1008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564"/>
        <w:ind w:left="1152" w:hanging="1152"/>
        <w:tabs>
          <w:tab w:val="left" w:pos="1152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564"/>
        <w:ind w:left="1296" w:hanging="1296"/>
        <w:tabs>
          <w:tab w:val="left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564"/>
        <w:ind w:left="1440" w:hanging="1440"/>
        <w:tabs>
          <w:tab w:val="left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564"/>
        <w:ind w:left="1584" w:hanging="1584"/>
        <w:tabs>
          <w:tab w:val="left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4"/>
        <w:ind w:left="720" w:hanging="360"/>
        <w:tabs>
          <w:tab w:val="left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64"/>
        <w:ind w:left="720" w:hanging="360"/>
      </w:pPr>
      <w:rPr>
        <w:rFonts w:ascii="Symbol" w:hAnsi="Symbol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64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64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64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64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64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64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64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64"/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2">
    <w:name w:val="Heading 1"/>
    <w:link w:val="39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3">
    <w:name w:val="Heading 1 Char"/>
    <w:link w:val="392"/>
    <w:uiPriority w:val="9"/>
    <w:rPr>
      <w:rFonts w:ascii="Arial" w:hAnsi="Arial" w:cs="Arial" w:eastAsia="Arial"/>
      <w:sz w:val="40"/>
      <w:szCs w:val="40"/>
    </w:rPr>
  </w:style>
  <w:style w:type="paragraph" w:styleId="394">
    <w:name w:val="Heading 2"/>
    <w:link w:val="39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5">
    <w:name w:val="Heading 2 Char"/>
    <w:link w:val="394"/>
    <w:uiPriority w:val="9"/>
    <w:rPr>
      <w:rFonts w:ascii="Arial" w:hAnsi="Arial" w:cs="Arial" w:eastAsia="Arial"/>
      <w:sz w:val="34"/>
    </w:rPr>
  </w:style>
  <w:style w:type="paragraph" w:styleId="396">
    <w:name w:val="Heading 3"/>
    <w:link w:val="39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7">
    <w:name w:val="Heading 3 Char"/>
    <w:link w:val="396"/>
    <w:uiPriority w:val="9"/>
    <w:rPr>
      <w:rFonts w:ascii="Arial" w:hAnsi="Arial" w:cs="Arial" w:eastAsia="Arial"/>
      <w:sz w:val="30"/>
      <w:szCs w:val="30"/>
    </w:rPr>
  </w:style>
  <w:style w:type="paragraph" w:styleId="398">
    <w:name w:val="Heading 4"/>
    <w:link w:val="39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9">
    <w:name w:val="Heading 4 Char"/>
    <w:link w:val="398"/>
    <w:uiPriority w:val="9"/>
    <w:rPr>
      <w:rFonts w:ascii="Arial" w:hAnsi="Arial" w:cs="Arial" w:eastAsia="Arial"/>
      <w:b/>
      <w:bCs/>
      <w:sz w:val="26"/>
      <w:szCs w:val="26"/>
    </w:rPr>
  </w:style>
  <w:style w:type="paragraph" w:styleId="400">
    <w:name w:val="Heading 5"/>
    <w:link w:val="40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1">
    <w:name w:val="Heading 5 Char"/>
    <w:link w:val="400"/>
    <w:uiPriority w:val="9"/>
    <w:rPr>
      <w:rFonts w:ascii="Arial" w:hAnsi="Arial" w:cs="Arial" w:eastAsia="Arial"/>
      <w:b/>
      <w:bCs/>
      <w:sz w:val="24"/>
      <w:szCs w:val="24"/>
    </w:rPr>
  </w:style>
  <w:style w:type="paragraph" w:styleId="402">
    <w:name w:val="Heading 6"/>
    <w:link w:val="40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3">
    <w:name w:val="Heading 6 Char"/>
    <w:link w:val="402"/>
    <w:uiPriority w:val="9"/>
    <w:rPr>
      <w:rFonts w:ascii="Arial" w:hAnsi="Arial" w:cs="Arial" w:eastAsia="Arial"/>
      <w:b/>
      <w:bCs/>
      <w:sz w:val="22"/>
      <w:szCs w:val="22"/>
    </w:rPr>
  </w:style>
  <w:style w:type="paragraph" w:styleId="404">
    <w:name w:val="Heading 7"/>
    <w:link w:val="40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5">
    <w:name w:val="Heading 7 Char"/>
    <w:link w:val="40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6">
    <w:name w:val="Heading 8"/>
    <w:link w:val="40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7">
    <w:name w:val="Heading 8 Char"/>
    <w:link w:val="406"/>
    <w:uiPriority w:val="9"/>
    <w:rPr>
      <w:rFonts w:ascii="Arial" w:hAnsi="Arial" w:cs="Arial" w:eastAsia="Arial"/>
      <w:i/>
      <w:iCs/>
      <w:sz w:val="22"/>
      <w:szCs w:val="22"/>
    </w:rPr>
  </w:style>
  <w:style w:type="paragraph" w:styleId="408">
    <w:name w:val="Heading 9"/>
    <w:link w:val="40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9">
    <w:name w:val="Heading 9 Char"/>
    <w:link w:val="408"/>
    <w:uiPriority w:val="9"/>
    <w:rPr>
      <w:rFonts w:ascii="Arial" w:hAnsi="Arial" w:cs="Arial" w:eastAsia="Arial"/>
      <w:i/>
      <w:iCs/>
      <w:sz w:val="21"/>
      <w:szCs w:val="21"/>
    </w:rPr>
  </w:style>
  <w:style w:type="paragraph" w:styleId="410">
    <w:name w:val="List Paragraph"/>
    <w:qFormat/>
    <w:uiPriority w:val="34"/>
    <w:pPr>
      <w:contextualSpacing w:val="true"/>
      <w:ind w:left="720"/>
    </w:pPr>
  </w:style>
  <w:style w:type="paragraph" w:styleId="411">
    <w:name w:val="No Spacing"/>
    <w:qFormat/>
    <w:uiPriority w:val="1"/>
    <w:pPr>
      <w:spacing w:lineRule="auto" w:line="240" w:after="0" w:before="0"/>
    </w:pPr>
  </w:style>
  <w:style w:type="paragraph" w:styleId="412">
    <w:name w:val="Title"/>
    <w:link w:val="41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3">
    <w:name w:val="Title Char"/>
    <w:link w:val="412"/>
    <w:uiPriority w:val="10"/>
    <w:rPr>
      <w:sz w:val="48"/>
      <w:szCs w:val="48"/>
    </w:rPr>
  </w:style>
  <w:style w:type="paragraph" w:styleId="414">
    <w:name w:val="Subtitle"/>
    <w:link w:val="415"/>
    <w:qFormat/>
    <w:uiPriority w:val="11"/>
    <w:rPr>
      <w:sz w:val="24"/>
      <w:szCs w:val="24"/>
    </w:rPr>
    <w:pPr>
      <w:spacing w:after="200" w:before="200"/>
    </w:pPr>
  </w:style>
  <w:style w:type="character" w:styleId="415">
    <w:name w:val="Subtitle Char"/>
    <w:link w:val="414"/>
    <w:uiPriority w:val="11"/>
    <w:rPr>
      <w:sz w:val="24"/>
      <w:szCs w:val="24"/>
    </w:rPr>
  </w:style>
  <w:style w:type="paragraph" w:styleId="416">
    <w:name w:val="Quote"/>
    <w:link w:val="417"/>
    <w:qFormat/>
    <w:uiPriority w:val="29"/>
    <w:rPr>
      <w:i/>
    </w:rPr>
    <w:pPr>
      <w:ind w:left="720" w:right="720"/>
    </w:pPr>
  </w:style>
  <w:style w:type="character" w:styleId="417">
    <w:name w:val="Quote Char"/>
    <w:link w:val="416"/>
    <w:uiPriority w:val="29"/>
    <w:rPr>
      <w:i/>
    </w:rPr>
  </w:style>
  <w:style w:type="paragraph" w:styleId="418">
    <w:name w:val="Intense Quote"/>
    <w:link w:val="41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9">
    <w:name w:val="Intense Quote Char"/>
    <w:link w:val="418"/>
    <w:uiPriority w:val="30"/>
    <w:rPr>
      <w:i/>
    </w:rPr>
  </w:style>
  <w:style w:type="paragraph" w:styleId="420">
    <w:name w:val="Header"/>
    <w:link w:val="42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1">
    <w:name w:val="Header Char"/>
    <w:link w:val="420"/>
    <w:uiPriority w:val="99"/>
  </w:style>
  <w:style w:type="paragraph" w:styleId="422">
    <w:name w:val="Footer"/>
    <w:link w:val="42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3">
    <w:name w:val="Footer Char"/>
    <w:link w:val="422"/>
    <w:uiPriority w:val="99"/>
  </w:style>
  <w:style w:type="table" w:styleId="42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5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6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1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2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4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0">
    <w:name w:val="Hyperlink"/>
    <w:uiPriority w:val="99"/>
    <w:unhideWhenUsed/>
    <w:rPr>
      <w:color w:val="0000FF" w:themeColor="hyperlink"/>
      <w:u w:val="single"/>
    </w:rPr>
  </w:style>
  <w:style w:type="paragraph" w:styleId="551">
    <w:name w:val="footnote text"/>
    <w:link w:val="552"/>
    <w:uiPriority w:val="99"/>
    <w:semiHidden/>
    <w:unhideWhenUsed/>
    <w:rPr>
      <w:sz w:val="18"/>
    </w:rPr>
    <w:pPr>
      <w:spacing w:lineRule="auto" w:line="240" w:after="40"/>
    </w:pPr>
  </w:style>
  <w:style w:type="character" w:styleId="552">
    <w:name w:val="Footnote Text Char"/>
    <w:link w:val="551"/>
    <w:uiPriority w:val="99"/>
    <w:rPr>
      <w:sz w:val="18"/>
    </w:rPr>
  </w:style>
  <w:style w:type="character" w:styleId="553">
    <w:name w:val="footnote reference"/>
    <w:uiPriority w:val="99"/>
    <w:unhideWhenUsed/>
    <w:rPr>
      <w:vertAlign w:val="superscript"/>
    </w:rPr>
  </w:style>
  <w:style w:type="paragraph" w:styleId="554">
    <w:name w:val="toc 1"/>
    <w:uiPriority w:val="39"/>
    <w:unhideWhenUsed/>
    <w:pPr>
      <w:ind w:left="0" w:right="0" w:firstLine="0"/>
      <w:spacing w:after="57"/>
    </w:pPr>
  </w:style>
  <w:style w:type="paragraph" w:styleId="555">
    <w:name w:val="toc 2"/>
    <w:uiPriority w:val="39"/>
    <w:unhideWhenUsed/>
    <w:pPr>
      <w:ind w:left="283" w:right="0" w:firstLine="0"/>
      <w:spacing w:after="57"/>
    </w:pPr>
  </w:style>
  <w:style w:type="paragraph" w:styleId="556">
    <w:name w:val="toc 3"/>
    <w:uiPriority w:val="39"/>
    <w:unhideWhenUsed/>
    <w:pPr>
      <w:ind w:left="567" w:right="0" w:firstLine="0"/>
      <w:spacing w:after="57"/>
    </w:pPr>
  </w:style>
  <w:style w:type="paragraph" w:styleId="557">
    <w:name w:val="toc 4"/>
    <w:uiPriority w:val="39"/>
    <w:unhideWhenUsed/>
    <w:pPr>
      <w:ind w:left="850" w:right="0" w:firstLine="0"/>
      <w:spacing w:after="57"/>
    </w:pPr>
  </w:style>
  <w:style w:type="paragraph" w:styleId="558">
    <w:name w:val="toc 5"/>
    <w:uiPriority w:val="39"/>
    <w:unhideWhenUsed/>
    <w:pPr>
      <w:ind w:left="1134" w:right="0" w:firstLine="0"/>
      <w:spacing w:after="57"/>
    </w:pPr>
  </w:style>
  <w:style w:type="paragraph" w:styleId="559">
    <w:name w:val="toc 6"/>
    <w:uiPriority w:val="39"/>
    <w:unhideWhenUsed/>
    <w:pPr>
      <w:ind w:left="1417" w:right="0" w:firstLine="0"/>
      <w:spacing w:after="57"/>
    </w:pPr>
  </w:style>
  <w:style w:type="paragraph" w:styleId="560">
    <w:name w:val="toc 7"/>
    <w:uiPriority w:val="39"/>
    <w:unhideWhenUsed/>
    <w:pPr>
      <w:ind w:left="1701" w:right="0" w:firstLine="0"/>
      <w:spacing w:after="57"/>
    </w:pPr>
  </w:style>
  <w:style w:type="paragraph" w:styleId="561">
    <w:name w:val="toc 8"/>
    <w:uiPriority w:val="39"/>
    <w:unhideWhenUsed/>
    <w:pPr>
      <w:ind w:left="1984" w:right="0" w:firstLine="0"/>
      <w:spacing w:after="57"/>
    </w:pPr>
  </w:style>
  <w:style w:type="paragraph" w:styleId="562">
    <w:name w:val="toc 9"/>
    <w:uiPriority w:val="39"/>
    <w:unhideWhenUsed/>
    <w:pPr>
      <w:ind w:left="2268" w:right="0" w:firstLine="0"/>
      <w:spacing w:after="57"/>
    </w:pPr>
  </w:style>
  <w:style w:type="paragraph" w:styleId="563">
    <w:name w:val="TOC Heading"/>
    <w:uiPriority w:val="39"/>
    <w:unhideWhenUsed/>
  </w:style>
  <w:style w:type="paragraph" w:styleId="564">
    <w:name w:val="Обычный"/>
    <w:next w:val="564"/>
    <w:link w:val="564"/>
    <w:rPr>
      <w:sz w:val="24"/>
      <w:szCs w:val="24"/>
      <w:lang w:val="ru-RU" w:bidi="ar-SA" w:eastAsia="ar-SA"/>
    </w:rPr>
  </w:style>
  <w:style w:type="paragraph" w:styleId="565">
    <w:name w:val="Заголовок 1"/>
    <w:basedOn w:val="564"/>
    <w:next w:val="564"/>
    <w:link w:val="564"/>
    <w:rPr>
      <w:b/>
      <w:bCs/>
      <w:sz w:val="23"/>
      <w:szCs w:val="23"/>
    </w:rPr>
    <w:pPr>
      <w:numPr>
        <w:ilvl w:val="0"/>
        <w:numId w:val="1"/>
      </w:numPr>
      <w:jc w:val="both"/>
      <w:keepNext/>
      <w:outlineLvl w:val="0"/>
    </w:pPr>
  </w:style>
  <w:style w:type="paragraph" w:styleId="566">
    <w:name w:val="Заголовок 3"/>
    <w:basedOn w:val="599"/>
    <w:next w:val="600"/>
    <w:link w:val="564"/>
    <w:rPr>
      <w:b/>
      <w:bCs/>
      <w:sz w:val="28"/>
      <w:szCs w:val="28"/>
    </w:rPr>
    <w:pPr>
      <w:numPr>
        <w:ilvl w:val="2"/>
        <w:numId w:val="1"/>
      </w:numPr>
      <w:outlineLvl w:val="2"/>
    </w:pPr>
  </w:style>
  <w:style w:type="character" w:styleId="567">
    <w:name w:val="Основной шрифт абзаца"/>
    <w:next w:val="567"/>
    <w:link w:val="564"/>
    <w:semiHidden/>
  </w:style>
  <w:style w:type="table" w:styleId="568">
    <w:name w:val="Обычная таблица"/>
    <w:next w:val="568"/>
    <w:link w:val="564"/>
    <w:semiHidden/>
    <w:tblPr/>
  </w:style>
  <w:style w:type="numbering" w:styleId="569">
    <w:name w:val="Нет списка"/>
    <w:next w:val="569"/>
    <w:link w:val="564"/>
    <w:semiHidden/>
  </w:style>
  <w:style w:type="character" w:styleId="570">
    <w:name w:val="WW8Num1z0"/>
    <w:next w:val="570"/>
    <w:link w:val="564"/>
  </w:style>
  <w:style w:type="character" w:styleId="571">
    <w:name w:val="WW8Num1z1"/>
    <w:next w:val="571"/>
    <w:link w:val="564"/>
  </w:style>
  <w:style w:type="character" w:styleId="572">
    <w:name w:val="WW8Num1z2"/>
    <w:next w:val="572"/>
    <w:link w:val="564"/>
  </w:style>
  <w:style w:type="character" w:styleId="573">
    <w:name w:val="WW8Num1z3"/>
    <w:next w:val="573"/>
    <w:link w:val="564"/>
  </w:style>
  <w:style w:type="character" w:styleId="574">
    <w:name w:val="WW8Num1z4"/>
    <w:next w:val="574"/>
    <w:link w:val="564"/>
  </w:style>
  <w:style w:type="character" w:styleId="575">
    <w:name w:val="WW8Num1z5"/>
    <w:next w:val="575"/>
    <w:link w:val="564"/>
  </w:style>
  <w:style w:type="character" w:styleId="576">
    <w:name w:val="WW8Num1z6"/>
    <w:next w:val="576"/>
    <w:link w:val="564"/>
  </w:style>
  <w:style w:type="character" w:styleId="577">
    <w:name w:val="WW8Num1z7"/>
    <w:next w:val="577"/>
    <w:link w:val="564"/>
  </w:style>
  <w:style w:type="character" w:styleId="578">
    <w:name w:val="WW8Num1z8"/>
    <w:next w:val="578"/>
    <w:link w:val="564"/>
  </w:style>
  <w:style w:type="character" w:styleId="579">
    <w:name w:val="WW8Num2z0"/>
    <w:next w:val="579"/>
    <w:link w:val="564"/>
    <w:rPr>
      <w:b/>
    </w:rPr>
  </w:style>
  <w:style w:type="character" w:styleId="580">
    <w:name w:val="WW8Num2z1"/>
    <w:next w:val="580"/>
    <w:link w:val="564"/>
  </w:style>
  <w:style w:type="character" w:styleId="581">
    <w:name w:val="WW8Num2z2"/>
    <w:next w:val="581"/>
    <w:link w:val="564"/>
  </w:style>
  <w:style w:type="character" w:styleId="582">
    <w:name w:val="WW8Num2z3"/>
    <w:next w:val="582"/>
    <w:link w:val="564"/>
  </w:style>
  <w:style w:type="character" w:styleId="583">
    <w:name w:val="WW8Num2z4"/>
    <w:next w:val="583"/>
    <w:link w:val="564"/>
  </w:style>
  <w:style w:type="character" w:styleId="584">
    <w:name w:val="WW8Num2z5"/>
    <w:next w:val="584"/>
    <w:link w:val="564"/>
  </w:style>
  <w:style w:type="character" w:styleId="585">
    <w:name w:val="WW8Num2z6"/>
    <w:next w:val="585"/>
    <w:link w:val="564"/>
  </w:style>
  <w:style w:type="character" w:styleId="586">
    <w:name w:val="WW8Num2z7"/>
    <w:next w:val="586"/>
    <w:link w:val="564"/>
  </w:style>
  <w:style w:type="character" w:styleId="587">
    <w:name w:val="WW8Num2z8"/>
    <w:next w:val="587"/>
    <w:link w:val="564"/>
  </w:style>
  <w:style w:type="character" w:styleId="588">
    <w:name w:val="WW8Num3z0"/>
    <w:next w:val="588"/>
    <w:link w:val="564"/>
  </w:style>
  <w:style w:type="character" w:styleId="589">
    <w:name w:val="WW8Num3z1"/>
    <w:next w:val="589"/>
    <w:link w:val="564"/>
  </w:style>
  <w:style w:type="character" w:styleId="590">
    <w:name w:val="WW8Num3z2"/>
    <w:next w:val="590"/>
    <w:link w:val="564"/>
  </w:style>
  <w:style w:type="character" w:styleId="591">
    <w:name w:val="WW8Num3z3"/>
    <w:next w:val="591"/>
    <w:link w:val="564"/>
  </w:style>
  <w:style w:type="character" w:styleId="592">
    <w:name w:val="WW8Num3z4"/>
    <w:next w:val="592"/>
    <w:link w:val="564"/>
  </w:style>
  <w:style w:type="character" w:styleId="593">
    <w:name w:val="WW8Num3z5"/>
    <w:next w:val="593"/>
    <w:link w:val="564"/>
  </w:style>
  <w:style w:type="character" w:styleId="594">
    <w:name w:val="WW8Num3z6"/>
    <w:next w:val="594"/>
    <w:link w:val="564"/>
  </w:style>
  <w:style w:type="character" w:styleId="595">
    <w:name w:val="WW8Num3z7"/>
    <w:next w:val="595"/>
    <w:link w:val="564"/>
  </w:style>
  <w:style w:type="character" w:styleId="596">
    <w:name w:val="WW8Num3z8"/>
    <w:next w:val="596"/>
    <w:link w:val="564"/>
  </w:style>
  <w:style w:type="character" w:styleId="597">
    <w:name w:val="Основной шрифт абзаца1"/>
    <w:next w:val="597"/>
    <w:link w:val="564"/>
  </w:style>
  <w:style w:type="character" w:styleId="598">
    <w:name w:val="Заголовок 1 Знак"/>
    <w:next w:val="598"/>
    <w:link w:val="564"/>
    <w:rPr>
      <w:b/>
      <w:bCs/>
      <w:sz w:val="23"/>
      <w:szCs w:val="23"/>
    </w:rPr>
  </w:style>
  <w:style w:type="paragraph" w:styleId="599">
    <w:name w:val="Заголовок"/>
    <w:basedOn w:val="564"/>
    <w:next w:val="600"/>
    <w:link w:val="564"/>
    <w:rPr>
      <w:rFonts w:ascii="Arial" w:hAnsi="Arial" w:eastAsia="Arial Unicode MS"/>
      <w:sz w:val="28"/>
      <w:szCs w:val="28"/>
    </w:rPr>
    <w:pPr>
      <w:keepNext/>
      <w:spacing w:after="120" w:before="240"/>
    </w:pPr>
  </w:style>
  <w:style w:type="paragraph" w:styleId="600">
    <w:name w:val="Основной текст"/>
    <w:basedOn w:val="564"/>
    <w:next w:val="600"/>
    <w:link w:val="564"/>
    <w:pPr>
      <w:spacing w:after="120" w:before="0"/>
    </w:pPr>
  </w:style>
  <w:style w:type="paragraph" w:styleId="601">
    <w:name w:val="Список"/>
    <w:basedOn w:val="600"/>
    <w:next w:val="601"/>
    <w:link w:val="564"/>
  </w:style>
  <w:style w:type="paragraph" w:styleId="602">
    <w:name w:val="Название1"/>
    <w:basedOn w:val="564"/>
    <w:next w:val="602"/>
    <w:link w:val="564"/>
    <w:rPr>
      <w:i/>
      <w:iCs/>
      <w:sz w:val="24"/>
      <w:szCs w:val="24"/>
    </w:rPr>
    <w:pPr>
      <w:spacing w:after="120" w:before="120"/>
    </w:pPr>
  </w:style>
  <w:style w:type="paragraph" w:styleId="603">
    <w:name w:val="Указатель1"/>
    <w:basedOn w:val="564"/>
    <w:next w:val="603"/>
    <w:link w:val="564"/>
  </w:style>
  <w:style w:type="paragraph" w:styleId="604">
    <w:name w:val="ConsNonformat"/>
    <w:next w:val="604"/>
    <w:link w:val="564"/>
    <w:rPr>
      <w:rFonts w:ascii="Courier New" w:hAnsi="Courier New"/>
      <w:lang w:val="ru-RU" w:bidi="ar-SA" w:eastAsia="ar-SA"/>
    </w:rPr>
    <w:pPr>
      <w:ind w:right="19772"/>
    </w:pPr>
  </w:style>
  <w:style w:type="paragraph" w:styleId="605">
    <w:name w:val="ConsTitle"/>
    <w:next w:val="605"/>
    <w:link w:val="564"/>
    <w:rPr>
      <w:rFonts w:ascii="Arial" w:hAnsi="Arial"/>
      <w:b/>
      <w:bCs/>
      <w:sz w:val="16"/>
      <w:szCs w:val="16"/>
      <w:lang w:val="ru-RU" w:bidi="ar-SA" w:eastAsia="ar-SA"/>
    </w:rPr>
    <w:pPr>
      <w:ind w:right="19772"/>
    </w:pPr>
  </w:style>
  <w:style w:type="paragraph" w:styleId="606">
    <w:name w:val="ConsCell"/>
    <w:next w:val="606"/>
    <w:link w:val="564"/>
    <w:rPr>
      <w:rFonts w:ascii="Arial" w:hAnsi="Arial"/>
      <w:lang w:val="ru-RU" w:bidi="ar-SA" w:eastAsia="ar-SA"/>
    </w:rPr>
    <w:pPr>
      <w:ind w:right="19772"/>
    </w:pPr>
  </w:style>
  <w:style w:type="paragraph" w:styleId="607">
    <w:name w:val="Plain Text"/>
    <w:basedOn w:val="564"/>
    <w:next w:val="607"/>
    <w:link w:val="564"/>
    <w:rPr>
      <w:rFonts w:ascii="Courier New" w:hAnsi="Courier New"/>
      <w:sz w:val="20"/>
      <w:szCs w:val="20"/>
    </w:rPr>
    <w:pPr>
      <w:widowControl w:val="off"/>
    </w:pPr>
  </w:style>
  <w:style w:type="paragraph" w:styleId="608">
    <w:name w:val="Содержимое таблицы"/>
    <w:basedOn w:val="564"/>
    <w:next w:val="608"/>
    <w:link w:val="564"/>
  </w:style>
  <w:style w:type="paragraph" w:styleId="609">
    <w:name w:val="Заголовок таблицы"/>
    <w:basedOn w:val="608"/>
    <w:next w:val="609"/>
    <w:link w:val="564"/>
    <w:rPr>
      <w:b/>
      <w:bCs/>
    </w:rPr>
    <w:pPr>
      <w:jc w:val="center"/>
    </w:pPr>
  </w:style>
  <w:style w:type="paragraph" w:styleId="610">
    <w:name w:val="Обычный (веб)"/>
    <w:basedOn w:val="564"/>
    <w:next w:val="610"/>
    <w:link w:val="564"/>
    <w:rPr>
      <w:lang w:eastAsia="ru-RU"/>
    </w:rPr>
    <w:pPr>
      <w:spacing w:after="119" w:before="100" w:beforeAutospacing="1"/>
    </w:pPr>
  </w:style>
  <w:style w:type="paragraph" w:styleId="611">
    <w:name w:val="Текст выноски"/>
    <w:basedOn w:val="564"/>
    <w:next w:val="611"/>
    <w:link w:val="564"/>
    <w:semiHidden/>
    <w:rPr>
      <w:rFonts w:ascii="Tahoma" w:hAnsi="Tahoma"/>
      <w:sz w:val="16"/>
      <w:szCs w:val="16"/>
    </w:rPr>
  </w:style>
  <w:style w:type="paragraph" w:styleId="612">
    <w:name w:val="Текст1"/>
    <w:basedOn w:val="564"/>
    <w:next w:val="612"/>
    <w:link w:val="564"/>
    <w:rPr>
      <w:rFonts w:ascii="Courier New" w:hAnsi="Courier New" w:eastAsia="Calibri"/>
      <w:sz w:val="20"/>
      <w:szCs w:val="20"/>
      <w:lang w:val="en-US" w:eastAsia="en-US"/>
    </w:rPr>
    <w:pPr>
      <w:spacing w:lineRule="auto" w:line="276" w:after="200"/>
      <w:widowControl w:val="off"/>
    </w:pPr>
  </w:style>
  <w:style w:type="paragraph" w:styleId="613">
    <w:name w:val="ConsPlusNonformat"/>
    <w:next w:val="613"/>
    <w:link w:val="564"/>
    <w:rPr>
      <w:rFonts w:ascii="Courier New" w:hAnsi="Courier New" w:eastAsia="Calibri"/>
      <w:sz w:val="22"/>
      <w:szCs w:val="22"/>
      <w:lang w:val="ru-RU" w:bidi="ar-SA" w:eastAsia="ru-RU"/>
    </w:rPr>
    <w:pPr>
      <w:spacing w:lineRule="auto" w:line="276" w:after="200"/>
      <w:widowControl w:val="off"/>
    </w:pPr>
  </w:style>
  <w:style w:type="character" w:styleId="614" w:default="1">
    <w:name w:val="Default Paragraph Font"/>
    <w:uiPriority w:val="1"/>
    <w:semiHidden/>
    <w:unhideWhenUsed/>
  </w:style>
  <w:style w:type="numbering" w:styleId="615" w:default="1">
    <w:name w:val="No List"/>
    <w:uiPriority w:val="99"/>
    <w:semiHidden/>
    <w:unhideWhenUsed/>
  </w:style>
  <w:style w:type="paragraph" w:styleId="616" w:default="1">
    <w:name w:val="Normal"/>
    <w:qFormat/>
  </w:style>
  <w:style w:type="table" w:styleId="61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2020-11-13T11:30:59Z</dcterms:modified>
</cp:coreProperties>
</file>