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CB0B0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CB0B0A">
        <w:rPr>
          <w:rFonts w:ascii="Segoe UI" w:hAnsi="Segoe UI" w:cs="Segoe UI"/>
          <w:b/>
          <w:sz w:val="32"/>
          <w:szCs w:val="32"/>
        </w:rPr>
        <w:t>Нецелевое использование земельного участка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 xml:space="preserve">Земельное законодательство основывается на принципе деления земель по целевому назначению на категории, согласно которому правовой режим земель определяется исходя из их принадлежности </w:t>
      </w:r>
      <w:r w:rsidRPr="00CB0B0A">
        <w:rPr>
          <w:rFonts w:ascii="Segoe UI" w:hAnsi="Segoe UI" w:cs="Segoe UI"/>
          <w:b/>
          <w:bCs/>
          <w:iCs/>
          <w:szCs w:val="24"/>
        </w:rPr>
        <w:t>к определенной категории и разрешенного использования</w:t>
      </w:r>
      <w:r w:rsidRPr="00CB0B0A">
        <w:rPr>
          <w:rFonts w:ascii="Segoe UI" w:hAnsi="Segoe UI" w:cs="Segoe UI"/>
          <w:bCs/>
          <w:iCs/>
          <w:szCs w:val="24"/>
        </w:rPr>
        <w:t xml:space="preserve"> в соответствии с зонированием территорий и требованиями законодательства.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Эти две важные характеристики определяют цели использования земельных участков – возможность его застройки, ведения промышленной, коммерческой или сельскохозяйственной деятельности, а также являются важным фактором для определения его кадастровой стоимости и связанных с нею платежей (земельного налога, арендной платы).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Под нецелевым использованием законодательство понимает использование земельного участка не в соответствии с тем видом разрешенного использования, который содержится в сведениях Едином государственном реестре недвижимости (ЕГРН).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За использование земельного участка не в соответствии с целевым назначением ч. 1 ст. 8.8 КоАП РФ установлена административная ответственность в виде штрафных санкций.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Выявление фактов использования земельного участка не по целевому назначению также может повлечь: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- расторжение договора аренды и изъятие земельного участка;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- повышение ставки земельного налога в отношении земельных участков сельскохозяйственного назначения (пункт 7.2 статьи 396 Налогового кодекса РФ);</w:t>
      </w:r>
    </w:p>
    <w:p w:rsidR="00CB0B0A" w:rsidRPr="00CB0B0A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 xml:space="preserve">- снос самовольной постройки (статья 222 Гражданского кодекса РФ). </w:t>
      </w:r>
    </w:p>
    <w:p w:rsidR="00FF24CB" w:rsidRDefault="00CB0B0A" w:rsidP="00CB0B0A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CB0B0A">
        <w:rPr>
          <w:rFonts w:ascii="Segoe UI" w:hAnsi="Segoe UI" w:cs="Segoe UI"/>
          <w:bCs/>
          <w:iCs/>
          <w:szCs w:val="24"/>
        </w:rPr>
        <w:t>«Ситуации, когда на земельных участках осуществляется деятельность, не предусмотренная его видом разрешенного использования, достаточно распространены. При выявлении данных фактов к правообладателю земельного участка принимаются меры административного воздействия, устранение нарушения ставится на контроль. С целью исключения противоправной деятельности необходимо изменить вид разрешенного использования, если это возможно, либо прекратить указанную деятельность»</w:t>
      </w:r>
      <w:r>
        <w:rPr>
          <w:rFonts w:ascii="Segoe UI" w:hAnsi="Segoe UI" w:cs="Segoe UI"/>
          <w:bCs/>
          <w:iCs/>
          <w:szCs w:val="24"/>
        </w:rPr>
        <w:t>,</w:t>
      </w:r>
      <w:r w:rsidRPr="00CB0B0A">
        <w:rPr>
          <w:rFonts w:ascii="Segoe UI" w:hAnsi="Segoe UI" w:cs="Segoe UI"/>
          <w:bCs/>
          <w:iCs/>
          <w:szCs w:val="24"/>
        </w:rPr>
        <w:t xml:space="preserve"> – пояснил заместитель руководителя Карельского Росреестра Владимир Карвонен.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lastRenderedPageBreak/>
        <w:t>Управления Росреестра по Республике Карелия</w:t>
      </w:r>
    </w:p>
    <w:p w:rsidR="00F2098F" w:rsidRPr="000B176E" w:rsidRDefault="00C667FD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C667F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5A3" w:rsidRDefault="00FE55A3" w:rsidP="00CB5FB6">
      <w:r>
        <w:separator/>
      </w:r>
    </w:p>
  </w:endnote>
  <w:endnote w:type="continuationSeparator" w:id="1">
    <w:p w:rsidR="00FE55A3" w:rsidRDefault="00FE55A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5A3" w:rsidRDefault="00FE55A3" w:rsidP="00CB5FB6">
      <w:r>
        <w:separator/>
      </w:r>
    </w:p>
  </w:footnote>
  <w:footnote w:type="continuationSeparator" w:id="1">
    <w:p w:rsidR="00FE55A3" w:rsidRDefault="00FE55A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43D6D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02A6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0A1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05F52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1B18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7FD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0B0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55A3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2024-08-02T08:23:00Z</dcterms:created>
  <dcterms:modified xsi:type="dcterms:W3CDTF">2024-08-02T08:23:00Z</dcterms:modified>
</cp:coreProperties>
</file>