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DD0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8116B">
        <w:rPr>
          <w:rFonts w:ascii="Segoe UI" w:hAnsi="Segoe UI" w:cs="Segoe UI"/>
          <w:b/>
          <w:sz w:val="32"/>
          <w:szCs w:val="32"/>
        </w:rPr>
        <w:t>Взаимодействие с застройщиками</w:t>
      </w:r>
    </w:p>
    <w:p w:rsidR="0068116B" w:rsidRPr="00EE60FF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В целях снижения административных барьеров в строительной отрасли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и Управлением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по Республике Карелия и повышения эффективности оказания государственных услуг в сфере недвижимости на постоянной основе осуществляется взаимодействие с организациями-застройщиками посредством проведения совещаний, встреч, семинаров, «горячих линий».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При этом одним из приоритетных направлений развития Росреестра является оказание государственных услуг Росреестра в электронном виде. Электронная регистрация договоров участия в долевом строительстве, а также прав дольщиков на недвижимое имущество становится все более популярной.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Возможность подачи заявления на государственную регистрацию в электронном виде предусматривает сокращенные сроки регистрации, уменьшение количества процедур, которые необходимо совершить в целях осуществления государственной регистрации прав и позволяет сэкономить время граждан - участников долевого строительства.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Благодаря инициативе Росреестра с 2020 года застройщики имеют возможность подавать документы от имени дольщиков на регистрацию права собственности в электронном виде без доверенности.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Эффективное взаимодействие Управления, Минстроя Карелии, органов местного самоуправления и строительных компаний в Карелии позволяет осуществлять государственный кадастровый учет многоквартирных домов, государственную регистрацию договоров участия в долевом строительстве и прав участников долевого строительства в кратчайшие сроки и оперативно решать возникающие в процессе осуществления учетно-регистрационных действий вопросы.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В результате такого взаимодействия осуществляется достижение показателей «Дорожной карты» по повышению эффективности оказания государственных услуг в сфере государственного кадастрового учета и/или государственной регистрации прав, в том числе в отношении многоквартирных домов, жилых помещений, утвержденной заместителем Председателя Правительства Российской Федерации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Хуснуллиным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М.Ш. 11.03.2022.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Так, за 1 полугодие 2024 года доля государственной регистрации договоров участия в долевом строительстве в электронном виде составила 73,6%, количество прав дольщиков, зарегистрированных за прошедший период 2024 года по заявлениям застройщиков, представленным, в том числе в электронном виде, составило 354. В 2024 году Управлением поставлено на кадастровый учет 5 мн</w:t>
      </w:r>
      <w:r>
        <w:rPr>
          <w:rFonts w:ascii="Segoe UI" w:hAnsi="Segoe UI" w:cs="Segoe UI"/>
          <w:bCs/>
          <w:iCs/>
          <w:szCs w:val="24"/>
        </w:rPr>
        <w:t>огоквартирных дома.</w:t>
      </w:r>
      <w:bookmarkStart w:id="0" w:name="_GoBack"/>
      <w:bookmarkEnd w:id="0"/>
    </w:p>
    <w:p w:rsid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Государственная регистрация договоров участия в долевом строительстве и прав дольщиков по документам, поступившим в электронном виде, осуществляется в течение 1 рабочего дня, а кадастровый учет многоквартирных домов осуществляется Управлением в течение 1-3 рабочих дней. </w:t>
      </w:r>
    </w:p>
    <w:p w:rsidR="0068116B" w:rsidRDefault="0068116B" w:rsidP="0068116B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275600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27560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8116B">
      <w:headerReference w:type="default" r:id="rId10"/>
      <w:pgSz w:w="11906" w:h="16838"/>
      <w:pgMar w:top="720" w:right="849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699" w:rsidRDefault="00D04699" w:rsidP="00CB5FB6">
      <w:r>
        <w:separator/>
      </w:r>
    </w:p>
  </w:endnote>
  <w:endnote w:type="continuationSeparator" w:id="1">
    <w:p w:rsidR="00D04699" w:rsidRDefault="00D0469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699" w:rsidRDefault="00D04699" w:rsidP="00CB5FB6">
      <w:r>
        <w:separator/>
      </w:r>
    </w:p>
  </w:footnote>
  <w:footnote w:type="continuationSeparator" w:id="1">
    <w:p w:rsidR="00D04699" w:rsidRDefault="00D0469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60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C3C40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2024-09-25T07:02:00Z</dcterms:created>
  <dcterms:modified xsi:type="dcterms:W3CDTF">2024-09-25T07:02:00Z</dcterms:modified>
</cp:coreProperties>
</file>